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</w:rPr>
      </w:pPr>
      <w:r>
        <w:rPr>
          <w:sz w:val="24"/>
        </w:rPr>
        <w:pict>
          <v:shape id="_x0000_i1025" o:spt="75" alt="校徽镂空-02" type="#_x0000_t75" style="height:54.1pt;width:224.8pt;" filled="f" o:preferrelative="t" stroked="f" coordsize="21600,21600">
            <v:path/>
            <v:fill on="f" focussize="0,0"/>
            <v:stroke on="f" joinstyle="miter"/>
            <v:imagedata r:id="rId12" o:title="校徽镂空-02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华文新魏" w:hAnsi="仿宋" w:eastAsia="华文新魏"/>
          <w:b/>
          <w:sz w:val="84"/>
          <w:szCs w:val="84"/>
        </w:rPr>
      </w:pPr>
    </w:p>
    <w:p>
      <w:pPr>
        <w:spacing w:line="360" w:lineRule="auto"/>
        <w:jc w:val="center"/>
        <w:rPr>
          <w:rFonts w:ascii="华文新魏" w:hAnsi="仿宋" w:eastAsia="华文新魏"/>
          <w:b/>
          <w:sz w:val="144"/>
          <w:szCs w:val="144"/>
        </w:rPr>
      </w:pPr>
      <w:r>
        <w:rPr>
          <w:rFonts w:hint="eastAsia" w:ascii="华文新魏" w:hAnsi="仿宋" w:eastAsia="华文新魏"/>
          <w:b/>
          <w:sz w:val="144"/>
          <w:szCs w:val="144"/>
        </w:rPr>
        <w:t>教学大纲</w:t>
      </w:r>
    </w:p>
    <w:p>
      <w:pPr>
        <w:spacing w:line="360" w:lineRule="auto"/>
        <w:jc w:val="center"/>
        <w:rPr>
          <w:rFonts w:ascii="华文新魏" w:hAnsi="仿宋" w:eastAsia="华文新魏"/>
          <w:b/>
          <w:sz w:val="72"/>
          <w:szCs w:val="72"/>
        </w:rPr>
      </w:pPr>
      <w:r>
        <w:rPr>
          <w:rFonts w:hint="eastAsia" w:ascii="华文新魏" w:hAnsi="仿宋" w:eastAsia="华文新魏"/>
          <w:b/>
          <w:sz w:val="72"/>
          <w:szCs w:val="72"/>
        </w:rPr>
        <w:t>《医药知识产权保护》</w:t>
      </w:r>
    </w:p>
    <w:p>
      <w:pPr>
        <w:spacing w:line="360" w:lineRule="auto"/>
        <w:jc w:val="center"/>
        <w:rPr>
          <w:sz w:val="30"/>
        </w:rPr>
      </w:pPr>
      <w:r>
        <w:rPr>
          <w:rFonts w:hint="eastAsia" w:ascii="华文新魏" w:hAnsi="仿宋" w:eastAsia="华文新魏"/>
          <w:b/>
          <w:sz w:val="30"/>
          <w:szCs w:val="30"/>
          <w:lang w:val="en-US" w:eastAsia="zh-CN"/>
        </w:rPr>
        <w:t>供</w:t>
      </w:r>
      <w:r>
        <w:rPr>
          <w:rFonts w:hint="eastAsia" w:ascii="华文新魏" w:hAnsi="仿宋" w:eastAsia="华文新魏"/>
          <w:b/>
          <w:sz w:val="30"/>
          <w:szCs w:val="30"/>
        </w:rPr>
        <w:t>生物制药、药物制剂专业学生使用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开课单位：医学人文</w:t>
      </w:r>
      <w:r>
        <w:rPr>
          <w:rFonts w:ascii="楷体" w:hAnsi="楷体" w:eastAsia="楷体"/>
          <w:b/>
          <w:sz w:val="44"/>
          <w:szCs w:val="44"/>
        </w:rPr>
        <w:t>学院</w:t>
      </w: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二零二四年</w:t>
      </w: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134" w:bottom="1418" w:left="1418" w:header="851" w:footer="992" w:gutter="0"/>
          <w:cols w:space="720" w:num="1"/>
          <w:titlePg/>
          <w:docGrid w:type="linesAndChars" w:linePitch="333" w:charSpace="-437"/>
        </w:sectPr>
      </w:pP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《医药知识产权保护》教学大纲（理论）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/>
          <w:sz w:val="30"/>
        </w:rPr>
        <w:t>（生物制药、药物制剂专业用）</w:t>
      </w:r>
    </w:p>
    <w:p>
      <w:pPr>
        <w:jc w:val="center"/>
        <w:rPr>
          <w:rFonts w:ascii="宋体" w:hAnsi="宋体"/>
          <w:sz w:val="10"/>
          <w:szCs w:val="1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前 言</w:t>
      </w:r>
    </w:p>
    <w:p>
      <w:pPr>
        <w:ind w:firstLine="425"/>
      </w:pPr>
      <w:r>
        <w:rPr>
          <w:rFonts w:hint="eastAsia" w:hAnsi="宋体"/>
        </w:rPr>
        <w:t>医药行业时中国国民经济的重要组成部分。中国制药业近年来发展迅猛，已经超过日本成为全球第二大药品市场，我国医药行业正逐步参与到国际制药的竞争。药品研发、生产、销售的整个生命周期与知识产权管理紧密结合，因此知识产权管理对制药行业显得越发重要。本课程以我国现行知识产权法律制度为基础，结合医药行业特点，阐述医药知识产权的概念、特征、获取、保护以及知识产权的管理和运营。本课程面向生物制药、药物制剂专业开设，具有专业针对性，使学生充分了解我国现行医药知识产权制度，帮助学生树立法治理念。</w:t>
      </w:r>
    </w:p>
    <w:p>
      <w:pPr>
        <w:jc w:val="center"/>
        <w:rPr>
          <w:rFonts w:hAnsi="黑体" w:eastAsia="黑体"/>
          <w:sz w:val="10"/>
          <w:szCs w:val="10"/>
        </w:rPr>
      </w:pPr>
    </w:p>
    <w:p>
      <w:pPr>
        <w:numPr>
          <w:ilvl w:val="0"/>
          <w:numId w:val="1"/>
        </w:numPr>
        <w:jc w:val="center"/>
        <w:rPr>
          <w:rFonts w:hAnsi="黑体" w:eastAsia="黑体"/>
          <w:sz w:val="28"/>
          <w:szCs w:val="28"/>
        </w:rPr>
      </w:pPr>
      <w:r>
        <w:rPr>
          <w:rFonts w:hint="eastAsia" w:hAnsi="黑体" w:eastAsia="黑体"/>
          <w:sz w:val="28"/>
          <w:szCs w:val="28"/>
        </w:rPr>
        <w:t>知识产权基本理论</w:t>
      </w:r>
    </w:p>
    <w:p>
      <w:pPr>
        <w:jc w:val="center"/>
        <w:rPr>
          <w:rFonts w:hAnsi="黑体"/>
          <w:sz w:val="28"/>
          <w:szCs w:val="28"/>
        </w:rPr>
      </w:pPr>
      <w:r>
        <w:rPr>
          <w:rFonts w:hAnsi="宋体"/>
          <w:sz w:val="24"/>
        </w:rPr>
        <w:t>第</w:t>
      </w:r>
      <w:r>
        <w:rPr>
          <w:rFonts w:hint="eastAsia" w:hAnsi="宋体"/>
          <w:sz w:val="24"/>
        </w:rPr>
        <w:t>一</w:t>
      </w:r>
      <w:r>
        <w:rPr>
          <w:rFonts w:hAnsi="宋体"/>
          <w:sz w:val="24"/>
        </w:rPr>
        <w:t>节</w:t>
      </w:r>
      <w:r>
        <w:rPr>
          <w:rFonts w:hint="eastAsia" w:hAnsi="宋体"/>
          <w:sz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hAnsi="宋体"/>
          <w:sz w:val="24"/>
        </w:rPr>
        <w:t>知识产权概述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（一）了解知识产权的概念与范围</w:t>
      </w:r>
    </w:p>
    <w:p>
      <w:pPr>
        <w:ind w:firstLine="416" w:firstLineChars="200"/>
      </w:pPr>
      <w:r>
        <w:rPr>
          <w:rFonts w:hint="eastAsia"/>
        </w:rPr>
        <w:t xml:space="preserve">（二）掌握知识产权的特征和性质 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（一）知识产权的概念与范围</w:t>
      </w:r>
    </w:p>
    <w:p>
      <w:pPr>
        <w:ind w:firstLine="416" w:firstLineChars="200"/>
      </w:pPr>
      <w:r>
        <w:rPr>
          <w:rFonts w:hint="eastAsia"/>
        </w:rPr>
        <w:t>（二）知识产权的特征和性质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</w:t>
      </w:r>
      <w:r>
        <w:rPr>
          <w:rFonts w:hint="eastAsia" w:ascii="黑体" w:hAnsi="黑体" w:eastAsia="黑体"/>
        </w:rPr>
        <w:t>学时安排</w:t>
      </w:r>
    </w:p>
    <w:p>
      <w:pPr>
        <w:ind w:firstLine="416" w:firstLineChars="200"/>
      </w:pPr>
      <w:r>
        <w:rPr>
          <w:rFonts w:hint="eastAsia"/>
        </w:rPr>
        <w:t>1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jc w:val="center"/>
        <w:rPr>
          <w:sz w:val="24"/>
        </w:rPr>
      </w:pPr>
      <w:r>
        <w:rPr>
          <w:rFonts w:hAnsi="宋体"/>
          <w:sz w:val="24"/>
        </w:rPr>
        <w:t>第二节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int="eastAsia" w:hAnsi="宋体"/>
          <w:sz w:val="24"/>
        </w:rPr>
        <w:t>知识产权侵权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了解知识产权侵权的概念及构成</w:t>
      </w:r>
    </w:p>
    <w:p>
      <w:pPr>
        <w:ind w:firstLine="416" w:firstLineChars="200"/>
      </w:pPr>
      <w:r>
        <w:t>（二）</w:t>
      </w:r>
      <w:r>
        <w:rPr>
          <w:rFonts w:hint="eastAsia"/>
        </w:rPr>
        <w:t>掌握知识产权侵权的法律责任与程序保障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（一）知识产权侵权的概念及构成</w:t>
      </w:r>
    </w:p>
    <w:p>
      <w:pPr>
        <w:ind w:firstLine="416" w:firstLineChars="200"/>
      </w:pPr>
      <w:r>
        <w:rPr>
          <w:rFonts w:hint="eastAsia"/>
        </w:rPr>
        <w:t>（二）知识产权侵权的法律责任</w:t>
      </w:r>
    </w:p>
    <w:p>
      <w:pPr>
        <w:ind w:firstLine="416" w:firstLineChars="200"/>
      </w:pPr>
      <w:r>
        <w:rPr>
          <w:rFonts w:hint="eastAsia"/>
        </w:rPr>
        <w:t>（三）知识产权侵权的程序保障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</w:t>
      </w:r>
      <w:r>
        <w:rPr>
          <w:rFonts w:hint="eastAsia" w:ascii="黑体" w:hAnsi="黑体" w:eastAsia="黑体"/>
        </w:rPr>
        <w:t>学时安排</w:t>
      </w:r>
    </w:p>
    <w:p>
      <w:pPr>
        <w:ind w:firstLine="416" w:firstLineChars="200"/>
      </w:pPr>
      <w:r>
        <w:rPr>
          <w:rFonts w:hint="eastAsia"/>
        </w:rPr>
        <w:t>1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  <w:rPr>
          <w:sz w:val="10"/>
          <w:szCs w:val="10"/>
        </w:rPr>
      </w:pPr>
      <w:r>
        <w:rPr>
          <w:rFonts w:hint="eastAsia"/>
        </w:rPr>
        <w:t>课堂讲授，讨论</w:t>
      </w:r>
    </w:p>
    <w:p>
      <w:pPr>
        <w:jc w:val="center"/>
        <w:rPr>
          <w:rFonts w:eastAsia="黑体"/>
          <w:sz w:val="10"/>
          <w:szCs w:val="10"/>
        </w:rPr>
      </w:pPr>
    </w:p>
    <w:p>
      <w:pPr>
        <w:jc w:val="center"/>
        <w:rPr>
          <w:sz w:val="24"/>
        </w:rPr>
      </w:pPr>
      <w:r>
        <w:rPr>
          <w:rFonts w:hint="eastAsia" w:eastAsia="黑体"/>
          <w:sz w:val="28"/>
          <w:szCs w:val="28"/>
        </w:rPr>
        <w:t>第二章</w:t>
      </w:r>
      <w:r>
        <w:rPr>
          <w:rFonts w:hint="eastAsia" w:eastAsia="黑体"/>
          <w:sz w:val="28"/>
          <w:szCs w:val="28"/>
          <w:lang w:val="en-US" w:eastAsia="zh-CN"/>
        </w:rPr>
        <w:t xml:space="preserve">  </w:t>
      </w:r>
      <w:r>
        <w:rPr>
          <w:rFonts w:hint="eastAsia" w:eastAsia="黑体"/>
          <w:sz w:val="28"/>
          <w:szCs w:val="28"/>
        </w:rPr>
        <w:t>医药知识产权保护概况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（一）了解医药行业发展特点</w:t>
      </w:r>
    </w:p>
    <w:p>
      <w:pPr>
        <w:ind w:firstLine="416" w:firstLineChars="200"/>
      </w:pPr>
      <w:r>
        <w:rPr>
          <w:rFonts w:hint="eastAsia"/>
        </w:rPr>
        <w:t>（二）了解医药领域知识产权保护形式</w:t>
      </w:r>
    </w:p>
    <w:p>
      <w:pPr>
        <w:ind w:firstLine="416" w:firstLineChars="200"/>
      </w:pPr>
      <w:r>
        <w:rPr>
          <w:rFonts w:hint="eastAsia"/>
        </w:rPr>
        <w:t>（三）掌握医疗领域知识产权保护机制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医药行业发展特点</w:t>
      </w:r>
    </w:p>
    <w:p>
      <w:pPr>
        <w:ind w:firstLine="416" w:firstLineChars="200"/>
      </w:pPr>
      <w:r>
        <w:rPr>
          <w:rFonts w:hint="eastAsia"/>
        </w:rPr>
        <w:t>（二）医药领域知识产权保护形式</w:t>
      </w:r>
    </w:p>
    <w:p>
      <w:pPr>
        <w:ind w:firstLine="416" w:firstLineChars="200"/>
      </w:pPr>
      <w:r>
        <w:rPr>
          <w:rFonts w:hint="eastAsia"/>
        </w:rPr>
        <w:t>（三）医疗领域知识产权保护机制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</w:t>
      </w:r>
      <w:r>
        <w:rPr>
          <w:rFonts w:hint="eastAsia" w:ascii="黑体" w:hAnsi="黑体" w:eastAsia="黑体"/>
        </w:rPr>
        <w:t>学时安排</w:t>
      </w:r>
    </w:p>
    <w:p>
      <w:pPr>
        <w:ind w:firstLine="416" w:firstLineChars="200"/>
      </w:pPr>
      <w:r>
        <w:rPr>
          <w:rFonts w:hint="eastAsia"/>
        </w:rPr>
        <w:t>2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  <w:rPr>
          <w:rFonts w:hAnsi="宋体"/>
        </w:rPr>
      </w:pPr>
      <w:r>
        <w:rPr>
          <w:rFonts w:hint="eastAsia"/>
        </w:rPr>
        <w:t>课堂讲授，讨论</w:t>
      </w:r>
    </w:p>
    <w:p>
      <w:pPr>
        <w:jc w:val="center"/>
        <w:rPr>
          <w:rFonts w:hAnsi="黑体" w:eastAsia="黑体"/>
          <w:sz w:val="10"/>
          <w:szCs w:val="10"/>
        </w:rPr>
      </w:pPr>
    </w:p>
    <w:p>
      <w:pPr>
        <w:jc w:val="center"/>
        <w:rPr>
          <w:rFonts w:hAnsi="黑体" w:eastAsia="黑体"/>
          <w:sz w:val="28"/>
          <w:szCs w:val="28"/>
        </w:rPr>
      </w:pPr>
      <w:r>
        <w:rPr>
          <w:rFonts w:hint="eastAsia" w:hAnsi="黑体" w:eastAsia="黑体"/>
          <w:sz w:val="28"/>
          <w:szCs w:val="28"/>
        </w:rPr>
        <w:t>第三章  医药著作权保护</w:t>
      </w:r>
    </w:p>
    <w:p>
      <w:pPr>
        <w:jc w:val="center"/>
        <w:rPr>
          <w:sz w:val="24"/>
        </w:rPr>
      </w:pPr>
      <w:r>
        <w:rPr>
          <w:rFonts w:hAnsi="宋体"/>
          <w:sz w:val="24"/>
        </w:rPr>
        <w:t>第一节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著作权概念及作品构成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（一）了解著作权的概念</w:t>
      </w:r>
    </w:p>
    <w:p>
      <w:pPr>
        <w:ind w:firstLine="416" w:firstLineChars="200"/>
      </w:pPr>
      <w:r>
        <w:rPr>
          <w:rFonts w:hint="eastAsia"/>
        </w:rPr>
        <w:t>（二）了解作品的概念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著作权的概念</w:t>
      </w:r>
    </w:p>
    <w:p>
      <w:pPr>
        <w:ind w:firstLine="416" w:firstLineChars="200"/>
      </w:pPr>
      <w:r>
        <w:rPr>
          <w:rFonts w:hint="eastAsia"/>
        </w:rPr>
        <w:t>（二）作品的内容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t>1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left="420"/>
        <w:rPr>
          <w:rFonts w:hAnsi="宋体"/>
        </w:rPr>
      </w:pPr>
      <w:r>
        <w:rPr>
          <w:rFonts w:hint="eastAsia"/>
        </w:rPr>
        <w:t>课堂讲授，讨论</w:t>
      </w:r>
    </w:p>
    <w:p>
      <w:pPr>
        <w:jc w:val="center"/>
        <w:rPr>
          <w:sz w:val="24"/>
        </w:rPr>
      </w:pPr>
      <w:r>
        <w:rPr>
          <w:rFonts w:hAnsi="宋体"/>
          <w:sz w:val="24"/>
        </w:rPr>
        <w:t>第二节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著作权的内容与著作权的归属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掌握著作权的内容</w:t>
      </w:r>
    </w:p>
    <w:p>
      <w:pPr>
        <w:ind w:firstLine="416" w:firstLineChars="200"/>
      </w:pPr>
      <w:r>
        <w:rPr>
          <w:rFonts w:hint="eastAsia"/>
        </w:rPr>
        <w:t>（二）掌握著作权的归属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著作权的内容</w:t>
      </w:r>
    </w:p>
    <w:p>
      <w:pPr>
        <w:ind w:firstLine="416" w:firstLineChars="200"/>
      </w:pPr>
      <w:r>
        <w:rPr>
          <w:rFonts w:hint="eastAsia"/>
        </w:rPr>
        <w:t>（二）著作权的主体和归属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 w:hAnsi="宋体"/>
        </w:rPr>
        <w:t>1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  <w:rPr>
          <w:rFonts w:hAnsi="宋体"/>
        </w:rPr>
      </w:pPr>
      <w:r>
        <w:rPr>
          <w:rFonts w:hint="eastAsia"/>
        </w:rPr>
        <w:t>课堂讲授，讨论</w:t>
      </w:r>
    </w:p>
    <w:p>
      <w:pPr>
        <w:jc w:val="center"/>
        <w:rPr>
          <w:sz w:val="24"/>
        </w:rPr>
      </w:pPr>
      <w:r>
        <w:rPr>
          <w:rFonts w:hAnsi="宋体"/>
          <w:sz w:val="24"/>
        </w:rPr>
        <w:t>第</w:t>
      </w:r>
      <w:r>
        <w:rPr>
          <w:rFonts w:hint="eastAsia" w:hAnsi="宋体"/>
          <w:sz w:val="24"/>
        </w:rPr>
        <w:t>三</w:t>
      </w:r>
      <w:r>
        <w:rPr>
          <w:rFonts w:hAnsi="宋体"/>
          <w:sz w:val="24"/>
        </w:rPr>
        <w:t>节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著作权侵权侵权及法律责任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掌握著作权的限制</w:t>
      </w:r>
    </w:p>
    <w:p>
      <w:pPr>
        <w:ind w:firstLine="416" w:firstLineChars="200"/>
      </w:pPr>
      <w:r>
        <w:rPr>
          <w:rFonts w:hint="eastAsia"/>
        </w:rPr>
        <w:t>（二）掌握著作权侵权及法律责任</w:t>
      </w:r>
    </w:p>
    <w:p>
      <w:pPr>
        <w:ind w:firstLine="416" w:firstLineChars="200"/>
      </w:pPr>
      <w:r>
        <w:rPr>
          <w:rFonts w:hint="eastAsia"/>
        </w:rPr>
        <w:t>（三）了解医药产业经营管理中涉及著作权保护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著作权的限制</w:t>
      </w:r>
    </w:p>
    <w:p>
      <w:pPr>
        <w:ind w:firstLine="416" w:firstLineChars="200"/>
      </w:pPr>
      <w:r>
        <w:rPr>
          <w:rFonts w:hint="eastAsia"/>
        </w:rPr>
        <w:t>（二）著作权侵权及其法律责任</w:t>
      </w:r>
    </w:p>
    <w:p>
      <w:pPr>
        <w:ind w:firstLine="416" w:firstLineChars="200"/>
      </w:pPr>
      <w:r>
        <w:rPr>
          <w:rFonts w:hint="eastAsia"/>
        </w:rPr>
        <w:t>（三）医药产业经营管理中涉及著作权保护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 w:hAnsi="宋体"/>
        </w:rPr>
        <w:t>1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ind w:firstLine="196" w:firstLineChars="200"/>
        <w:rPr>
          <w:sz w:val="10"/>
          <w:szCs w:val="10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第四</w:t>
      </w:r>
      <w:r>
        <w:rPr>
          <w:rFonts w:ascii="黑体" w:hAnsi="黑体" w:eastAsia="黑体"/>
          <w:sz w:val="28"/>
          <w:szCs w:val="28"/>
        </w:rPr>
        <w:t xml:space="preserve">章  </w:t>
      </w:r>
      <w:r>
        <w:rPr>
          <w:rFonts w:hint="eastAsia" w:ascii="黑体" w:hAnsi="黑体" w:eastAsia="黑体"/>
          <w:sz w:val="28"/>
          <w:szCs w:val="28"/>
        </w:rPr>
        <w:t>医药专利权保护</w:t>
      </w:r>
    </w:p>
    <w:p>
      <w:pPr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医药专利概述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（一）了解我国医药专利制度</w:t>
      </w:r>
    </w:p>
    <w:p>
      <w:pPr>
        <w:ind w:firstLine="416" w:firstLineChars="200"/>
      </w:pPr>
      <w:r>
        <w:rPr>
          <w:rFonts w:hint="eastAsia"/>
        </w:rPr>
        <w:t>（二）了解专利保护的特点</w:t>
      </w:r>
    </w:p>
    <w:p>
      <w:pPr>
        <w:ind w:firstLine="416" w:firstLineChars="200"/>
      </w:pPr>
      <w:r>
        <w:rPr>
          <w:rFonts w:hint="eastAsia"/>
        </w:rPr>
        <w:t>（三）了解医药专利的保护客体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我国医药专利制度</w:t>
      </w:r>
    </w:p>
    <w:p>
      <w:pPr>
        <w:ind w:firstLine="416" w:firstLineChars="200"/>
      </w:pPr>
      <w:r>
        <w:rPr>
          <w:rFonts w:hint="eastAsia"/>
        </w:rPr>
        <w:t>（二）专利保护的特点</w:t>
      </w:r>
    </w:p>
    <w:p>
      <w:pPr>
        <w:ind w:firstLine="416" w:firstLineChars="200"/>
      </w:pPr>
      <w:r>
        <w:rPr>
          <w:rFonts w:hint="eastAsia"/>
        </w:rPr>
        <w:t>（三）医药专利的保护客体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t>1</w:t>
      </w:r>
      <w:r>
        <w:rPr>
          <w:rFonts w:hAnsi="宋体"/>
        </w:rP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四、教学方法：</w:t>
      </w:r>
    </w:p>
    <w:p>
      <w:pPr>
        <w:ind w:firstLine="416" w:firstLineChars="200"/>
      </w:pPr>
      <w:r>
        <w:rPr>
          <w:rFonts w:hint="eastAsia"/>
        </w:rPr>
        <w:t>课堂讲授</w:t>
      </w:r>
    </w:p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医药专利授权条件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一、教学目标</w:t>
      </w:r>
    </w:p>
    <w:p>
      <w:pPr>
        <w:ind w:firstLine="416" w:firstLineChars="200"/>
      </w:pPr>
      <w:r>
        <w:rPr>
          <w:rFonts w:hint="eastAsia"/>
        </w:rPr>
        <w:t>（一）掌握不授予医药专利权的范围</w:t>
      </w:r>
    </w:p>
    <w:p>
      <w:pPr>
        <w:ind w:firstLine="416" w:firstLineChars="200"/>
      </w:pPr>
      <w:r>
        <w:rPr>
          <w:rFonts w:hint="eastAsia"/>
        </w:rPr>
        <w:t>（二）掌握专利的“三性”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（一）不授予医药专利权的范围</w:t>
      </w:r>
    </w:p>
    <w:p>
      <w:pPr>
        <w:ind w:firstLine="416" w:firstLineChars="200"/>
      </w:pPr>
      <w:r>
        <w:rPr>
          <w:rFonts w:hint="eastAsia"/>
        </w:rPr>
        <w:t>（二）专利的“三性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1学时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四、教学方法：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专利的审查、审批和无效宣告程序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一、教学目标</w:t>
      </w:r>
    </w:p>
    <w:p>
      <w:pPr>
        <w:ind w:firstLine="416" w:firstLineChars="200"/>
      </w:pPr>
      <w:r>
        <w:rPr>
          <w:rFonts w:hint="eastAsia"/>
        </w:rPr>
        <w:t>（一）掌握专利的审查、审批程序</w:t>
      </w:r>
    </w:p>
    <w:p>
      <w:pPr>
        <w:ind w:firstLine="416" w:firstLineChars="200"/>
      </w:pPr>
      <w:r>
        <w:rPr>
          <w:rFonts w:hint="eastAsia"/>
        </w:rPr>
        <w:t>（二）了解专利无效宣告程序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（一）专利的审查、审批程序</w:t>
      </w:r>
    </w:p>
    <w:p>
      <w:pPr>
        <w:ind w:firstLine="416" w:firstLineChars="200"/>
      </w:pPr>
      <w:r>
        <w:rPr>
          <w:rFonts w:hint="eastAsia"/>
        </w:rPr>
        <w:t>（二）专利无效宣告程序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0.5学时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四、教学方法：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专利权的保护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一、教学目标</w:t>
      </w:r>
    </w:p>
    <w:p>
      <w:pPr>
        <w:ind w:firstLine="416" w:firstLineChars="200"/>
      </w:pPr>
      <w:r>
        <w:rPr>
          <w:rFonts w:hint="eastAsia"/>
        </w:rPr>
        <w:t>（一）了解专利权的内容、利用、消灭与保护期</w:t>
      </w:r>
      <w:r>
        <w:rPr>
          <w:rFonts w:hint="eastAsia"/>
          <w:color w:val="FF0000"/>
        </w:rPr>
        <w:t>※</w:t>
      </w:r>
    </w:p>
    <w:p>
      <w:pPr>
        <w:ind w:firstLine="416" w:firstLineChars="200"/>
      </w:pPr>
      <w:r>
        <w:rPr>
          <w:rFonts w:hint="eastAsia"/>
        </w:rPr>
        <w:t>（二）掌握对专利权的限制</w:t>
      </w:r>
      <w:r>
        <w:rPr>
          <w:rFonts w:hint="eastAsia"/>
          <w:color w:val="FF0000"/>
        </w:rPr>
        <w:t>※</w:t>
      </w:r>
    </w:p>
    <w:p>
      <w:pPr>
        <w:ind w:firstLine="416" w:firstLineChars="200"/>
      </w:pPr>
      <w:r>
        <w:rPr>
          <w:rFonts w:hint="eastAsia"/>
        </w:rPr>
        <w:t>（三）掌握专利侵权及法律责任</w:t>
      </w:r>
      <w:r>
        <w:rPr>
          <w:rFonts w:hint="eastAsia"/>
          <w:color w:val="FF0000"/>
        </w:rPr>
        <w:t>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二、教学内容</w:t>
      </w:r>
    </w:p>
    <w:p>
      <w:pPr>
        <w:ind w:firstLine="416" w:firstLineChars="200"/>
      </w:pPr>
      <w:r>
        <w:rPr>
          <w:rFonts w:hint="eastAsia"/>
        </w:rPr>
        <w:t>（三）专利侵权及法律责任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1.5学时</w:t>
      </w:r>
    </w:p>
    <w:p>
      <w:pPr>
        <w:ind w:firstLine="416" w:firstLineChars="200"/>
      </w:pPr>
      <w:r>
        <w:rPr>
          <w:rFonts w:hint="eastAsia" w:ascii="黑体" w:hAnsi="黑体" w:eastAsia="黑体"/>
        </w:rPr>
        <w:t>四、教学方法：</w:t>
      </w:r>
      <w:r>
        <w:rPr>
          <w:rFonts w:hint="eastAsia"/>
        </w:rPr>
        <w:t>（一）专利权的内容、利用、消灭与保护期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hint="eastAsia"/>
        </w:rPr>
        <w:t>（二）对专利权的限制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ind w:firstLine="196" w:firstLineChars="200"/>
        <w:rPr>
          <w:sz w:val="10"/>
          <w:szCs w:val="10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第五</w:t>
      </w:r>
      <w:r>
        <w:rPr>
          <w:rFonts w:eastAsia="黑体"/>
          <w:sz w:val="28"/>
          <w:szCs w:val="28"/>
        </w:rPr>
        <w:t xml:space="preserve">章 </w:t>
      </w:r>
      <w:r>
        <w:rPr>
          <w:rFonts w:hint="eastAsia" w:eastAsia="黑体"/>
          <w:sz w:val="28"/>
          <w:szCs w:val="28"/>
        </w:rPr>
        <w:t>医药商标保护</w:t>
      </w:r>
    </w:p>
    <w:p>
      <w:pPr>
        <w:jc w:val="center"/>
        <w:rPr>
          <w:sz w:val="24"/>
        </w:rPr>
      </w:pPr>
      <w:r>
        <w:rPr>
          <w:sz w:val="24"/>
        </w:rPr>
        <w:t xml:space="preserve">第一节  </w:t>
      </w:r>
      <w:r>
        <w:rPr>
          <w:rFonts w:hint="eastAsia"/>
          <w:sz w:val="24"/>
        </w:rPr>
        <w:t>商标法律制度概述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rPr>
          <w:rFonts w:hint="eastAsia"/>
        </w:rPr>
        <w:t>（一）了解商标的概念和功能</w:t>
      </w:r>
    </w:p>
    <w:p>
      <w:pPr>
        <w:ind w:firstLine="416" w:firstLineChars="200"/>
      </w:pPr>
      <w:r>
        <w:rPr>
          <w:rFonts w:hint="eastAsia"/>
        </w:rPr>
        <w:t>（二）了解商标的分类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商标的概念和功能</w:t>
      </w:r>
    </w:p>
    <w:p>
      <w:pPr>
        <w:ind w:firstLine="416" w:firstLineChars="200"/>
      </w:pPr>
      <w:r>
        <w:rPr>
          <w:rFonts w:hint="eastAsia"/>
        </w:rPr>
        <w:t>（二）商标的分类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t>1学时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讲授，演讲，讨论</w:t>
      </w:r>
    </w:p>
    <w:p>
      <w:pPr>
        <w:jc w:val="center"/>
        <w:rPr>
          <w:sz w:val="24"/>
        </w:rPr>
      </w:pPr>
      <w:r>
        <w:rPr>
          <w:sz w:val="24"/>
        </w:rPr>
        <w:t>第二节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商标权的取得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一、目的要求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了解商标权取得途径</w:t>
      </w:r>
    </w:p>
    <w:p>
      <w:pPr>
        <w:ind w:firstLine="416" w:firstLineChars="200"/>
      </w:pPr>
      <w:r>
        <w:rPr>
          <w:rFonts w:hint="eastAsia"/>
        </w:rPr>
        <w:t>（二）熟悉不予注册的理由</w:t>
      </w:r>
    </w:p>
    <w:p>
      <w:pPr>
        <w:ind w:firstLine="416" w:firstLineChars="200"/>
      </w:pPr>
      <w:r>
        <w:rPr>
          <w:rFonts w:hint="eastAsia"/>
        </w:rPr>
        <w:t>（三）熟悉商标的注册申请与审查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商标权取得途径</w:t>
      </w:r>
    </w:p>
    <w:p>
      <w:pPr>
        <w:ind w:firstLine="416" w:firstLineChars="200"/>
      </w:pPr>
      <w:r>
        <w:rPr>
          <w:rFonts w:hint="eastAsia"/>
        </w:rPr>
        <w:t>（二）不予注册的理由</w:t>
      </w:r>
    </w:p>
    <w:p>
      <w:pPr>
        <w:ind w:firstLine="416" w:firstLineChars="200"/>
      </w:pPr>
      <w:r>
        <w:rPr>
          <w:rFonts w:hint="eastAsia"/>
        </w:rPr>
        <w:t>（三）商标的注册申请与审查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t>1学时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jc w:val="center"/>
        <w:rPr>
          <w:sz w:val="24"/>
        </w:rPr>
      </w:pPr>
      <w:r>
        <w:rPr>
          <w:sz w:val="24"/>
        </w:rPr>
        <w:t>第</w:t>
      </w:r>
      <w:r>
        <w:rPr>
          <w:rFonts w:hint="eastAsia"/>
          <w:sz w:val="24"/>
        </w:rPr>
        <w:t>三</w:t>
      </w:r>
      <w:r>
        <w:rPr>
          <w:sz w:val="24"/>
        </w:rPr>
        <w:t>节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商标权的保护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掌握商标侵权的认定</w:t>
      </w:r>
    </w:p>
    <w:p>
      <w:pPr>
        <w:ind w:firstLine="416" w:firstLineChars="200"/>
      </w:pPr>
      <w:r>
        <w:rPr>
          <w:rFonts w:hint="eastAsia"/>
        </w:rPr>
        <w:t>（二）熟悉商标侵权的解决途径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握商标侵权的认定</w:t>
      </w:r>
    </w:p>
    <w:p>
      <w:pPr>
        <w:ind w:firstLine="416" w:firstLineChars="200"/>
      </w:pPr>
      <w:r>
        <w:rPr>
          <w:rFonts w:hint="eastAsia"/>
        </w:rPr>
        <w:t>（二）商标侵权的解决途径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t>1学时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ind w:firstLine="196" w:firstLineChars="200"/>
        <w:rPr>
          <w:sz w:val="10"/>
          <w:szCs w:val="10"/>
        </w:rPr>
      </w:pPr>
    </w:p>
    <w:p>
      <w:pPr>
        <w:jc w:val="center"/>
        <w:rPr>
          <w:rFonts w:eastAsia="黑体"/>
          <w:sz w:val="28"/>
          <w:szCs w:val="30"/>
        </w:rPr>
      </w:pPr>
      <w:r>
        <w:rPr>
          <w:rFonts w:eastAsia="黑体"/>
          <w:sz w:val="28"/>
          <w:szCs w:val="30"/>
        </w:rPr>
        <w:t>第</w:t>
      </w:r>
      <w:r>
        <w:rPr>
          <w:rFonts w:hint="eastAsia" w:eastAsia="黑体"/>
          <w:sz w:val="28"/>
          <w:szCs w:val="30"/>
        </w:rPr>
        <w:t>六</w:t>
      </w:r>
      <w:r>
        <w:rPr>
          <w:rFonts w:eastAsia="黑体"/>
          <w:sz w:val="28"/>
          <w:szCs w:val="30"/>
        </w:rPr>
        <w:t>章</w:t>
      </w:r>
      <w:r>
        <w:rPr>
          <w:rFonts w:hint="eastAsia" w:eastAsia="黑体"/>
          <w:sz w:val="28"/>
          <w:szCs w:val="30"/>
          <w:lang w:val="en-US" w:eastAsia="zh-CN"/>
        </w:rPr>
        <w:t xml:space="preserve">  </w:t>
      </w:r>
      <w:r>
        <w:rPr>
          <w:rFonts w:hint="eastAsia" w:eastAsia="黑体"/>
          <w:sz w:val="28"/>
          <w:szCs w:val="30"/>
        </w:rPr>
        <w:t>医药商业秘密管理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一、</w:t>
      </w:r>
      <w:r>
        <w:rPr>
          <w:rFonts w:hint="eastAsia" w:ascii="黑体" w:hAnsi="黑体" w:eastAsia="黑体"/>
        </w:rPr>
        <w:t>教学目标</w:t>
      </w:r>
    </w:p>
    <w:p>
      <w:pPr>
        <w:ind w:firstLine="416" w:firstLineChars="200"/>
      </w:pPr>
      <w:r>
        <w:t>（一）了解</w:t>
      </w:r>
      <w:r>
        <w:rPr>
          <w:rFonts w:hint="eastAsia"/>
        </w:rPr>
        <w:t>商业秘密的概念</w:t>
      </w:r>
    </w:p>
    <w:p>
      <w:pPr>
        <w:ind w:firstLine="416" w:firstLineChars="200"/>
      </w:pPr>
      <w:r>
        <w:rPr>
          <w:rFonts w:hint="eastAsia"/>
        </w:rPr>
        <w:t>（二）熟悉商业秘密与其他知识产权的关系</w:t>
      </w:r>
    </w:p>
    <w:p>
      <w:pPr>
        <w:ind w:firstLine="416" w:firstLineChars="200"/>
      </w:pPr>
      <w:r>
        <w:rPr>
          <w:rFonts w:hint="eastAsia"/>
        </w:rPr>
        <w:t>（三）熟悉商业秘密保护特点</w:t>
      </w:r>
    </w:p>
    <w:p>
      <w:pPr>
        <w:ind w:firstLine="416" w:firstLineChars="200"/>
      </w:pPr>
      <w:r>
        <w:rPr>
          <w:rFonts w:hint="eastAsia"/>
        </w:rPr>
        <w:t>（四）掌握如何管理医药商业秘密</w:t>
      </w:r>
      <w:r>
        <w:rPr>
          <w:rFonts w:hint="eastAsia"/>
          <w:color w:val="FF0000"/>
        </w:rPr>
        <w:t>※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二、教学内容</w:t>
      </w:r>
    </w:p>
    <w:p>
      <w:pPr>
        <w:ind w:firstLine="416" w:firstLineChars="200"/>
      </w:pPr>
      <w:r>
        <w:t>（一）</w:t>
      </w:r>
      <w:r>
        <w:rPr>
          <w:rFonts w:hint="eastAsia"/>
        </w:rPr>
        <w:t>商业秘密的概念</w:t>
      </w:r>
    </w:p>
    <w:p>
      <w:pPr>
        <w:ind w:firstLine="416" w:firstLineChars="200"/>
      </w:pPr>
      <w:r>
        <w:rPr>
          <w:rFonts w:hint="eastAsia"/>
        </w:rPr>
        <w:t>（二）商业秘密与其他知识产权的关系</w:t>
      </w:r>
    </w:p>
    <w:p>
      <w:pPr>
        <w:ind w:firstLine="416" w:firstLineChars="200"/>
      </w:pPr>
      <w:r>
        <w:rPr>
          <w:rFonts w:hint="eastAsia"/>
        </w:rPr>
        <w:t>（三）商业秘密保护特点</w:t>
      </w:r>
    </w:p>
    <w:p>
      <w:pPr>
        <w:ind w:firstLine="416" w:firstLineChars="200"/>
      </w:pPr>
      <w:r>
        <w:rPr>
          <w:rFonts w:hint="eastAsia"/>
        </w:rPr>
        <w:t>（四）医药商业秘密管理实务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三、教学学时安排</w:t>
      </w:r>
    </w:p>
    <w:p>
      <w:pPr>
        <w:ind w:firstLine="416" w:firstLineChars="200"/>
      </w:pPr>
      <w:r>
        <w:rPr>
          <w:rFonts w:hint="eastAsia"/>
        </w:rPr>
        <w:t>2</w:t>
      </w:r>
      <w:r>
        <w:t>学时</w:t>
      </w:r>
    </w:p>
    <w:p>
      <w:pPr>
        <w:ind w:firstLine="416" w:firstLineChars="200"/>
        <w:rPr>
          <w:rFonts w:ascii="黑体" w:hAnsi="黑体" w:eastAsia="黑体"/>
        </w:rPr>
      </w:pPr>
      <w:r>
        <w:rPr>
          <w:rFonts w:ascii="黑体" w:hAnsi="黑体" w:eastAsia="黑体"/>
        </w:rPr>
        <w:t>四、教学方法</w:t>
      </w:r>
    </w:p>
    <w:p>
      <w:pPr>
        <w:ind w:firstLine="416" w:firstLineChars="200"/>
      </w:pPr>
      <w:r>
        <w:rPr>
          <w:rFonts w:hint="eastAsia"/>
        </w:rPr>
        <w:t>课堂讲授，讨论</w:t>
      </w:r>
    </w:p>
    <w:p>
      <w:pPr>
        <w:ind w:firstLine="416" w:firstLineChars="200"/>
      </w:pPr>
    </w:p>
    <w:p>
      <w:pPr>
        <w:ind w:firstLine="416" w:firstLineChars="200"/>
      </w:pPr>
    </w:p>
    <w:p>
      <w:pPr>
        <w:ind w:firstLine="416" w:firstLineChars="200"/>
      </w:pPr>
    </w:p>
    <w:p/>
    <w:p>
      <w:r>
        <w:rPr>
          <w:rFonts w:hint="eastAsia"/>
        </w:rPr>
        <w:br w:type="page"/>
      </w:r>
    </w:p>
    <w:p>
      <w:r>
        <w:rPr>
          <w:rFonts w:hint="eastAsia"/>
        </w:rPr>
        <w:t>附表：</w:t>
      </w:r>
    </w:p>
    <w:p>
      <w:pPr>
        <w:jc w:val="center"/>
        <w:rPr>
          <w:rFonts w:ascii="宋体" w:hAnsi="宋体"/>
        </w:rPr>
      </w:pPr>
      <w:r>
        <w:rPr>
          <w:rFonts w:hint="eastAsia" w:ascii="宋体" w:hAnsi="宋体"/>
        </w:rPr>
        <w:t>教学大纲</w:t>
      </w:r>
      <w:r>
        <w:rPr>
          <w:rFonts w:ascii="宋体" w:hAnsi="宋体"/>
        </w:rPr>
        <w:t>与</w:t>
      </w:r>
      <w:r>
        <w:rPr>
          <w:rFonts w:hint="eastAsia" w:ascii="宋体" w:hAnsi="宋体"/>
        </w:rPr>
        <w:t>执业</w:t>
      </w:r>
      <w:r>
        <w:rPr>
          <w:rFonts w:ascii="宋体" w:hAnsi="宋体"/>
        </w:rPr>
        <w:t>资格考试大纲</w:t>
      </w:r>
      <w:r>
        <w:rPr>
          <w:rFonts w:hint="eastAsia" w:ascii="宋体" w:hAnsi="宋体"/>
        </w:rPr>
        <w:t>内容衔接</w:t>
      </w:r>
      <w:r>
        <w:rPr>
          <w:rFonts w:ascii="宋体" w:hAnsi="宋体"/>
        </w:rPr>
        <w:t>梳理一览表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595"/>
        <w:gridCol w:w="1595"/>
        <w:gridCol w:w="1595"/>
        <w:gridCol w:w="1595"/>
        <w:gridCol w:w="1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  <w:gridSpan w:val="3"/>
            <w:noWrap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国家执业药师</w:t>
            </w:r>
            <w:r>
              <w:rPr>
                <w:rFonts w:ascii="宋体" w:hAnsi="宋体"/>
                <w:b/>
                <w:szCs w:val="21"/>
              </w:rPr>
              <w:t>资格考试大纲</w:t>
            </w:r>
            <w:r>
              <w:rPr>
                <w:rFonts w:hint="eastAsia" w:ascii="宋体" w:hAnsi="宋体"/>
                <w:b/>
                <w:szCs w:val="21"/>
              </w:rPr>
              <w:t>（2023）内容</w:t>
            </w:r>
          </w:p>
        </w:tc>
        <w:tc>
          <w:tcPr>
            <w:tcW w:w="4785" w:type="dxa"/>
            <w:gridSpan w:val="3"/>
            <w:noWrap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  <w:r>
              <w:rPr>
                <w:rFonts w:ascii="宋体" w:hAnsi="宋体"/>
                <w:b/>
                <w:szCs w:val="21"/>
              </w:rPr>
              <w:t>教学大纲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</w:t>
            </w:r>
          </w:p>
        </w:tc>
        <w:tc>
          <w:tcPr>
            <w:tcW w:w="159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细目</w:t>
            </w:r>
          </w:p>
        </w:tc>
        <w:tc>
          <w:tcPr>
            <w:tcW w:w="159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要点</w:t>
            </w:r>
          </w:p>
        </w:tc>
        <w:tc>
          <w:tcPr>
            <w:tcW w:w="159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对应</w:t>
            </w:r>
            <w:r>
              <w:rPr>
                <w:rFonts w:ascii="宋体" w:hAnsi="宋体"/>
                <w:szCs w:val="21"/>
              </w:rPr>
              <w:t>章节</w:t>
            </w:r>
          </w:p>
        </w:tc>
        <w:tc>
          <w:tcPr>
            <w:tcW w:w="159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目标</w:t>
            </w:r>
            <w:r>
              <w:rPr>
                <w:rFonts w:ascii="宋体" w:hAnsi="宋体"/>
                <w:szCs w:val="21"/>
              </w:rPr>
              <w:t>要求</w:t>
            </w:r>
          </w:p>
        </w:tc>
        <w:tc>
          <w:tcPr>
            <w:tcW w:w="159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vMerge w:val="restart"/>
            <w:noWrap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三、药品研制和生产管理</w:t>
            </w:r>
          </w:p>
        </w:tc>
        <w:tc>
          <w:tcPr>
            <w:tcW w:w="1595" w:type="dxa"/>
            <w:vMerge w:val="restart"/>
            <w:noWrap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（一）药品研制与注册管理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noWrap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3.药品上市注册（4）药品专利期补偿制度</w:t>
            </w:r>
          </w:p>
        </w:tc>
        <w:tc>
          <w:tcPr>
            <w:tcW w:w="1595" w:type="dxa"/>
            <w:noWrap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第三章第四节专利权的保护</w:t>
            </w:r>
          </w:p>
        </w:tc>
        <w:tc>
          <w:tcPr>
            <w:tcW w:w="1595" w:type="dxa"/>
            <w:noWrap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了解专利权的内容、利用、消灭与保护期</w:t>
            </w:r>
          </w:p>
        </w:tc>
        <w:tc>
          <w:tcPr>
            <w:tcW w:w="159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vMerge w:val="continue"/>
            <w:noWrap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vMerge w:val="continue"/>
            <w:noWrap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4.仿制药注册要求和一致性评价（2）药品注册中的专利纠纷早期解决机制</w:t>
            </w: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第三章第四节专利权的保护</w:t>
            </w: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掌握掌握专利侵权及法律责任</w:t>
            </w:r>
          </w:p>
        </w:tc>
        <w:tc>
          <w:tcPr>
            <w:tcW w:w="159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六、中药管理</w:t>
            </w: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（四）中成药与医疗机构中药制剂管理</w:t>
            </w: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2.中药品种保护（1）中成药生产经营的管理要求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（2)中成药通用名称的管理要求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(1）中药品种保护的目的和意义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（2）《中药品种保护条例》的适用范围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《3）中药保护品种的范围和等级划分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(4)中药保护品种的保护措施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(5）申请中药品种保护的程序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(6）中药品种保护指导原则</w:t>
            </w: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第三章第四节专利权的保护</w:t>
            </w: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了解专利权的内容、利用、消灭与保护期；掌握对专利权的限制</w:t>
            </w:r>
          </w:p>
        </w:tc>
        <w:tc>
          <w:tcPr>
            <w:tcW w:w="159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八、药品信息、广告、价格管理及消费者权益保护</w:t>
            </w: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（六）反不正当竞争</w:t>
            </w: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2.不正当竞争行为：混淆行为、商业贿赂行为、虚假宣传和虚假交易行为、侵犯商业秘密、不正当有奖销售、诋毀南誉行为、互联网不正当竞争行为的界定</w:t>
            </w: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第六章  医药商业秘密管理</w:t>
            </w:r>
          </w:p>
        </w:tc>
        <w:tc>
          <w:tcPr>
            <w:tcW w:w="1595" w:type="dxa"/>
            <w:noWrap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掌握如何管理医药商业秘密</w:t>
            </w:r>
          </w:p>
        </w:tc>
        <w:tc>
          <w:tcPr>
            <w:tcW w:w="1595" w:type="dxa"/>
            <w:noWrap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</w:tbl>
    <w:p>
      <w:pPr>
        <w:rPr>
          <w:rFonts w:ascii="宋体" w:hAnsi="宋体"/>
        </w:rPr>
      </w:pPr>
    </w:p>
    <w:sectPr>
      <w:footerReference r:id="rId10" w:type="first"/>
      <w:footerReference r:id="rId9" w:type="default"/>
      <w:pgSz w:w="11906" w:h="16838"/>
      <w:pgMar w:top="1418" w:right="1134" w:bottom="1418" w:left="1418" w:header="851" w:footer="992" w:gutter="0"/>
      <w:pgNumType w:start="1"/>
      <w:cols w:space="720" w:num="1"/>
      <w:docGrid w:type="linesAndChars" w:linePitch="333" w:charSpace="-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  <w: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  <w:jc w:val="right"/>
                </w:pPr>
                <w:r>
                  <w:fldChar w:fldCharType="begin"/>
                </w:r>
                <w:r>
                  <w:instrText xml:space="preserve">PAGE   \* MERGEFORMAT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_x0000_s1028" o:spid="_x0000_s102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both"/>
    </w:pPr>
    <w:r>
      <w:pict>
        <v:shape id="文本框4" o:spid="_x0000_s102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V6uAsgBAACYAwAADgAAAGRycy9lMm9Eb2MueG1srVPNjtMwEL6vxDtY&#10;vlNnK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V1S4rjFgZ9//jj/ejw/fH+T&#10;1ekD1Jh0FzAtDe/9gDsz+wGdmfSgos1fpEMwjtqeLtrKIRGRH62Wq1WFIYGx+YL47Ol5iJA+SG9J&#10;NhoacXhFU378BGlMnVNyNedvtTFlgMb95UDM7GG597HHbKVhN0yEdr49IZ8e595Qh2tOifnoUNa8&#10;IrMRZ2M3G4cQ9b4rO5TrQXh3SNhE6S1XGGGnwjiwwm5arrwRf95L1tMPtfk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PlergLIAQAAmA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文本框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EZhQCTIAQAAmA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B5E727"/>
    <w:multiLevelType w:val="singleLevel"/>
    <w:tmpl w:val="6FB5E727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TrackMoves/>
  <w:documentProtection w:enforcement="0"/>
  <w:defaultTabStop w:val="420"/>
  <w:drawingGridHorizontalSpacing w:val="104"/>
  <w:drawingGridVerticalSpacing w:val="333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I3NDg1OTU2NGY5OGViN2I1ZTFhNTdhNzUxYWZmMDQifQ=="/>
  </w:docVars>
  <w:rsids>
    <w:rsidRoot w:val="00172A27"/>
    <w:rsid w:val="00001480"/>
    <w:rsid w:val="0000555B"/>
    <w:rsid w:val="000115ED"/>
    <w:rsid w:val="00025BC7"/>
    <w:rsid w:val="00026E76"/>
    <w:rsid w:val="00045CEF"/>
    <w:rsid w:val="00063AAA"/>
    <w:rsid w:val="00071114"/>
    <w:rsid w:val="000777F7"/>
    <w:rsid w:val="000847B2"/>
    <w:rsid w:val="000B74CE"/>
    <w:rsid w:val="000C6A38"/>
    <w:rsid w:val="000C7548"/>
    <w:rsid w:val="000D0451"/>
    <w:rsid w:val="000D0723"/>
    <w:rsid w:val="000D1571"/>
    <w:rsid w:val="000E3A19"/>
    <w:rsid w:val="000F1E84"/>
    <w:rsid w:val="001020CA"/>
    <w:rsid w:val="001248E0"/>
    <w:rsid w:val="00126740"/>
    <w:rsid w:val="001347AB"/>
    <w:rsid w:val="00143191"/>
    <w:rsid w:val="00144277"/>
    <w:rsid w:val="00145502"/>
    <w:rsid w:val="00153138"/>
    <w:rsid w:val="00172679"/>
    <w:rsid w:val="00172A27"/>
    <w:rsid w:val="00174D56"/>
    <w:rsid w:val="00186C61"/>
    <w:rsid w:val="001A182A"/>
    <w:rsid w:val="001C2838"/>
    <w:rsid w:val="001C6B64"/>
    <w:rsid w:val="001D6FBC"/>
    <w:rsid w:val="001E13A7"/>
    <w:rsid w:val="001E797A"/>
    <w:rsid w:val="001F2FB5"/>
    <w:rsid w:val="001F759C"/>
    <w:rsid w:val="00215233"/>
    <w:rsid w:val="002170B2"/>
    <w:rsid w:val="00234B3B"/>
    <w:rsid w:val="00235499"/>
    <w:rsid w:val="00242299"/>
    <w:rsid w:val="00265DFA"/>
    <w:rsid w:val="002753D9"/>
    <w:rsid w:val="00277C0A"/>
    <w:rsid w:val="002856DA"/>
    <w:rsid w:val="00286C7C"/>
    <w:rsid w:val="00287611"/>
    <w:rsid w:val="00291C97"/>
    <w:rsid w:val="00294954"/>
    <w:rsid w:val="002954AC"/>
    <w:rsid w:val="002A0D89"/>
    <w:rsid w:val="002A1850"/>
    <w:rsid w:val="002A553E"/>
    <w:rsid w:val="002A794D"/>
    <w:rsid w:val="002B7BEA"/>
    <w:rsid w:val="002C3179"/>
    <w:rsid w:val="002C3E13"/>
    <w:rsid w:val="002C6F6D"/>
    <w:rsid w:val="002C7833"/>
    <w:rsid w:val="002D5D0C"/>
    <w:rsid w:val="002F3AA4"/>
    <w:rsid w:val="00304A61"/>
    <w:rsid w:val="00313D63"/>
    <w:rsid w:val="003145C6"/>
    <w:rsid w:val="00315FEC"/>
    <w:rsid w:val="00321896"/>
    <w:rsid w:val="003408B2"/>
    <w:rsid w:val="003410D5"/>
    <w:rsid w:val="003503A4"/>
    <w:rsid w:val="00350CA1"/>
    <w:rsid w:val="00355C72"/>
    <w:rsid w:val="00355E0D"/>
    <w:rsid w:val="0036573C"/>
    <w:rsid w:val="00377DCE"/>
    <w:rsid w:val="00397F46"/>
    <w:rsid w:val="003A215A"/>
    <w:rsid w:val="003A5577"/>
    <w:rsid w:val="003B0140"/>
    <w:rsid w:val="003C1A68"/>
    <w:rsid w:val="003C62FF"/>
    <w:rsid w:val="003D2E0F"/>
    <w:rsid w:val="003E654C"/>
    <w:rsid w:val="00406AFD"/>
    <w:rsid w:val="00411BCF"/>
    <w:rsid w:val="00424048"/>
    <w:rsid w:val="0042517C"/>
    <w:rsid w:val="0043638F"/>
    <w:rsid w:val="00443114"/>
    <w:rsid w:val="00451343"/>
    <w:rsid w:val="004643EC"/>
    <w:rsid w:val="00464C42"/>
    <w:rsid w:val="004654CB"/>
    <w:rsid w:val="00471D28"/>
    <w:rsid w:val="004916B1"/>
    <w:rsid w:val="00491BBB"/>
    <w:rsid w:val="00492950"/>
    <w:rsid w:val="004957B1"/>
    <w:rsid w:val="00496233"/>
    <w:rsid w:val="004A5B9A"/>
    <w:rsid w:val="004A72F7"/>
    <w:rsid w:val="004B2B91"/>
    <w:rsid w:val="004B6886"/>
    <w:rsid w:val="004B6DFD"/>
    <w:rsid w:val="004C0051"/>
    <w:rsid w:val="004C2B8B"/>
    <w:rsid w:val="004C31D5"/>
    <w:rsid w:val="004C4204"/>
    <w:rsid w:val="004D1EEF"/>
    <w:rsid w:val="004E0F50"/>
    <w:rsid w:val="004F0276"/>
    <w:rsid w:val="004F255D"/>
    <w:rsid w:val="004F3464"/>
    <w:rsid w:val="005039CB"/>
    <w:rsid w:val="00510C1C"/>
    <w:rsid w:val="0051326D"/>
    <w:rsid w:val="005147D5"/>
    <w:rsid w:val="00515927"/>
    <w:rsid w:val="00516767"/>
    <w:rsid w:val="005168F6"/>
    <w:rsid w:val="0053060F"/>
    <w:rsid w:val="00552729"/>
    <w:rsid w:val="00552D33"/>
    <w:rsid w:val="0055460A"/>
    <w:rsid w:val="0055713D"/>
    <w:rsid w:val="005662C9"/>
    <w:rsid w:val="00577795"/>
    <w:rsid w:val="00581E3D"/>
    <w:rsid w:val="005A5956"/>
    <w:rsid w:val="005B0858"/>
    <w:rsid w:val="005B0ECE"/>
    <w:rsid w:val="005B44CA"/>
    <w:rsid w:val="005C1330"/>
    <w:rsid w:val="005E003C"/>
    <w:rsid w:val="005E33A4"/>
    <w:rsid w:val="005E4F61"/>
    <w:rsid w:val="005E609A"/>
    <w:rsid w:val="005E669F"/>
    <w:rsid w:val="005E6860"/>
    <w:rsid w:val="005F2F63"/>
    <w:rsid w:val="005F78A1"/>
    <w:rsid w:val="005F7F72"/>
    <w:rsid w:val="00602F55"/>
    <w:rsid w:val="00623458"/>
    <w:rsid w:val="006256F4"/>
    <w:rsid w:val="00631388"/>
    <w:rsid w:val="006347DA"/>
    <w:rsid w:val="00636F73"/>
    <w:rsid w:val="006416FB"/>
    <w:rsid w:val="0064558F"/>
    <w:rsid w:val="00647762"/>
    <w:rsid w:val="00650750"/>
    <w:rsid w:val="006553FF"/>
    <w:rsid w:val="00665C3E"/>
    <w:rsid w:val="0066617C"/>
    <w:rsid w:val="00680FCA"/>
    <w:rsid w:val="006934A2"/>
    <w:rsid w:val="006942D4"/>
    <w:rsid w:val="00695640"/>
    <w:rsid w:val="006A4A93"/>
    <w:rsid w:val="006A5888"/>
    <w:rsid w:val="006A6656"/>
    <w:rsid w:val="006B4548"/>
    <w:rsid w:val="006C1BAB"/>
    <w:rsid w:val="006C6CA7"/>
    <w:rsid w:val="006D05B7"/>
    <w:rsid w:val="006E0171"/>
    <w:rsid w:val="006E7A26"/>
    <w:rsid w:val="006E7CBE"/>
    <w:rsid w:val="006F2BF7"/>
    <w:rsid w:val="007324A2"/>
    <w:rsid w:val="00737429"/>
    <w:rsid w:val="00753584"/>
    <w:rsid w:val="00753BF0"/>
    <w:rsid w:val="00756C49"/>
    <w:rsid w:val="007608EF"/>
    <w:rsid w:val="00760FA0"/>
    <w:rsid w:val="00764A22"/>
    <w:rsid w:val="00771AD7"/>
    <w:rsid w:val="00783297"/>
    <w:rsid w:val="007A0C9F"/>
    <w:rsid w:val="007A2144"/>
    <w:rsid w:val="007B1C57"/>
    <w:rsid w:val="007B3639"/>
    <w:rsid w:val="007C19EA"/>
    <w:rsid w:val="007D0627"/>
    <w:rsid w:val="007D5354"/>
    <w:rsid w:val="007D78AC"/>
    <w:rsid w:val="007E64F4"/>
    <w:rsid w:val="007F0419"/>
    <w:rsid w:val="007F3987"/>
    <w:rsid w:val="00812D32"/>
    <w:rsid w:val="00816899"/>
    <w:rsid w:val="008261D6"/>
    <w:rsid w:val="00826236"/>
    <w:rsid w:val="00831C18"/>
    <w:rsid w:val="00834DD3"/>
    <w:rsid w:val="00856FF7"/>
    <w:rsid w:val="00857237"/>
    <w:rsid w:val="00861C72"/>
    <w:rsid w:val="00866625"/>
    <w:rsid w:val="0089509A"/>
    <w:rsid w:val="00895266"/>
    <w:rsid w:val="008B5216"/>
    <w:rsid w:val="008D0069"/>
    <w:rsid w:val="008D28CD"/>
    <w:rsid w:val="008E5F56"/>
    <w:rsid w:val="008E746C"/>
    <w:rsid w:val="00905FBF"/>
    <w:rsid w:val="00907A7F"/>
    <w:rsid w:val="00914381"/>
    <w:rsid w:val="00917A51"/>
    <w:rsid w:val="009221BE"/>
    <w:rsid w:val="009257F4"/>
    <w:rsid w:val="00927D1D"/>
    <w:rsid w:val="00945B1D"/>
    <w:rsid w:val="009564F4"/>
    <w:rsid w:val="00960CCB"/>
    <w:rsid w:val="0098067E"/>
    <w:rsid w:val="009933E9"/>
    <w:rsid w:val="00997CE4"/>
    <w:rsid w:val="009A2A70"/>
    <w:rsid w:val="009A39EF"/>
    <w:rsid w:val="009B03E3"/>
    <w:rsid w:val="009B368A"/>
    <w:rsid w:val="009B37D4"/>
    <w:rsid w:val="009B6AB8"/>
    <w:rsid w:val="009C1B79"/>
    <w:rsid w:val="009E21AD"/>
    <w:rsid w:val="009E4C20"/>
    <w:rsid w:val="009E6ACD"/>
    <w:rsid w:val="009E6BB9"/>
    <w:rsid w:val="009F018D"/>
    <w:rsid w:val="00A328A1"/>
    <w:rsid w:val="00A34688"/>
    <w:rsid w:val="00A358EA"/>
    <w:rsid w:val="00A61A36"/>
    <w:rsid w:val="00A65F0B"/>
    <w:rsid w:val="00A71A1B"/>
    <w:rsid w:val="00A83E65"/>
    <w:rsid w:val="00A85B8B"/>
    <w:rsid w:val="00A870BA"/>
    <w:rsid w:val="00A91120"/>
    <w:rsid w:val="00A919AB"/>
    <w:rsid w:val="00AA63D9"/>
    <w:rsid w:val="00AD462D"/>
    <w:rsid w:val="00AD6233"/>
    <w:rsid w:val="00AE375B"/>
    <w:rsid w:val="00AF4D84"/>
    <w:rsid w:val="00B15C3A"/>
    <w:rsid w:val="00B16BA0"/>
    <w:rsid w:val="00B253C9"/>
    <w:rsid w:val="00B33F2A"/>
    <w:rsid w:val="00B4671E"/>
    <w:rsid w:val="00B730C8"/>
    <w:rsid w:val="00B93615"/>
    <w:rsid w:val="00BA2680"/>
    <w:rsid w:val="00BA36B7"/>
    <w:rsid w:val="00BB3BA3"/>
    <w:rsid w:val="00BB73B1"/>
    <w:rsid w:val="00BC5CFC"/>
    <w:rsid w:val="00BC6CD8"/>
    <w:rsid w:val="00BD1662"/>
    <w:rsid w:val="00BD173F"/>
    <w:rsid w:val="00BD6B01"/>
    <w:rsid w:val="00BE0010"/>
    <w:rsid w:val="00BF3A56"/>
    <w:rsid w:val="00C01525"/>
    <w:rsid w:val="00C14505"/>
    <w:rsid w:val="00C17CEC"/>
    <w:rsid w:val="00C26AA6"/>
    <w:rsid w:val="00C322C0"/>
    <w:rsid w:val="00C37C3A"/>
    <w:rsid w:val="00C4529F"/>
    <w:rsid w:val="00C60BED"/>
    <w:rsid w:val="00C7100E"/>
    <w:rsid w:val="00C71834"/>
    <w:rsid w:val="00C71857"/>
    <w:rsid w:val="00C84824"/>
    <w:rsid w:val="00C8676F"/>
    <w:rsid w:val="00C874C5"/>
    <w:rsid w:val="00C879FF"/>
    <w:rsid w:val="00C90A03"/>
    <w:rsid w:val="00CA0564"/>
    <w:rsid w:val="00CA46AE"/>
    <w:rsid w:val="00CA5EC1"/>
    <w:rsid w:val="00CA6813"/>
    <w:rsid w:val="00CA77D5"/>
    <w:rsid w:val="00CC0236"/>
    <w:rsid w:val="00CD4F72"/>
    <w:rsid w:val="00CE0DBD"/>
    <w:rsid w:val="00D01BB6"/>
    <w:rsid w:val="00D10199"/>
    <w:rsid w:val="00D13AEB"/>
    <w:rsid w:val="00D251EA"/>
    <w:rsid w:val="00D34D17"/>
    <w:rsid w:val="00D35172"/>
    <w:rsid w:val="00D36BD4"/>
    <w:rsid w:val="00D376C9"/>
    <w:rsid w:val="00D41F26"/>
    <w:rsid w:val="00D42C1C"/>
    <w:rsid w:val="00D434AC"/>
    <w:rsid w:val="00D466AF"/>
    <w:rsid w:val="00D5013B"/>
    <w:rsid w:val="00D50236"/>
    <w:rsid w:val="00D82D59"/>
    <w:rsid w:val="00D9076F"/>
    <w:rsid w:val="00D93CA1"/>
    <w:rsid w:val="00D9494C"/>
    <w:rsid w:val="00DA4AEC"/>
    <w:rsid w:val="00DC70C5"/>
    <w:rsid w:val="00DD1B7C"/>
    <w:rsid w:val="00DD3107"/>
    <w:rsid w:val="00DD426E"/>
    <w:rsid w:val="00DE3876"/>
    <w:rsid w:val="00DF21C7"/>
    <w:rsid w:val="00DF6A8A"/>
    <w:rsid w:val="00E1231E"/>
    <w:rsid w:val="00E14D7C"/>
    <w:rsid w:val="00E26BF4"/>
    <w:rsid w:val="00E26FAF"/>
    <w:rsid w:val="00E42589"/>
    <w:rsid w:val="00E43914"/>
    <w:rsid w:val="00E466F2"/>
    <w:rsid w:val="00E50387"/>
    <w:rsid w:val="00E53C00"/>
    <w:rsid w:val="00E64256"/>
    <w:rsid w:val="00E74514"/>
    <w:rsid w:val="00E74F7C"/>
    <w:rsid w:val="00E86FE2"/>
    <w:rsid w:val="00E915D2"/>
    <w:rsid w:val="00EA3A68"/>
    <w:rsid w:val="00EA7001"/>
    <w:rsid w:val="00EA77E0"/>
    <w:rsid w:val="00EB64E1"/>
    <w:rsid w:val="00EC119D"/>
    <w:rsid w:val="00EE0E67"/>
    <w:rsid w:val="00EE4243"/>
    <w:rsid w:val="00EE6988"/>
    <w:rsid w:val="00F02955"/>
    <w:rsid w:val="00F0415B"/>
    <w:rsid w:val="00F221B1"/>
    <w:rsid w:val="00F46CE9"/>
    <w:rsid w:val="00F5760A"/>
    <w:rsid w:val="00F609DA"/>
    <w:rsid w:val="00F62F41"/>
    <w:rsid w:val="00F671F0"/>
    <w:rsid w:val="00F70A3C"/>
    <w:rsid w:val="00F91BEA"/>
    <w:rsid w:val="00FA193F"/>
    <w:rsid w:val="00FA4B5A"/>
    <w:rsid w:val="00FC697D"/>
    <w:rsid w:val="00FC79BF"/>
    <w:rsid w:val="00FD3D61"/>
    <w:rsid w:val="00FE3165"/>
    <w:rsid w:val="00FF101B"/>
    <w:rsid w:val="00FF4B55"/>
    <w:rsid w:val="00FF76E0"/>
    <w:rsid w:val="0D6C2ED6"/>
    <w:rsid w:val="1AF04599"/>
    <w:rsid w:val="1CF54BB0"/>
    <w:rsid w:val="1D473CDF"/>
    <w:rsid w:val="1DB82609"/>
    <w:rsid w:val="23B23D35"/>
    <w:rsid w:val="26151358"/>
    <w:rsid w:val="2789767D"/>
    <w:rsid w:val="2DFD16AC"/>
    <w:rsid w:val="38647202"/>
    <w:rsid w:val="3D0A4AD4"/>
    <w:rsid w:val="4DCD43A1"/>
    <w:rsid w:val="4EF82C9B"/>
    <w:rsid w:val="563C1F17"/>
    <w:rsid w:val="58C6296A"/>
    <w:rsid w:val="5A8A588E"/>
    <w:rsid w:val="6425525E"/>
    <w:rsid w:val="66DE2841"/>
    <w:rsid w:val="72982068"/>
    <w:rsid w:val="73F60AD9"/>
    <w:rsid w:val="758816A5"/>
    <w:rsid w:val="7BEC08CE"/>
    <w:rsid w:val="7F362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ind w:firstLine="456" w:firstLineChars="200"/>
    </w:pPr>
    <w:rPr>
      <w:rFonts w:ascii="宋体" w:hAnsi="宋体"/>
    </w:rPr>
  </w:style>
  <w:style w:type="paragraph" w:styleId="4">
    <w:name w:val="Date"/>
    <w:basedOn w:val="1"/>
    <w:next w:val="1"/>
    <w:autoRedefine/>
    <w:qFormat/>
    <w:uiPriority w:val="0"/>
    <w:pPr>
      <w:ind w:left="100" w:leftChars="2500"/>
    </w:pPr>
  </w:style>
  <w:style w:type="paragraph" w:styleId="5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autoRedefine/>
    <w:semiHidden/>
    <w:qFormat/>
    <w:uiPriority w:val="0"/>
    <w:rPr>
      <w:b/>
      <w:bCs/>
    </w:rPr>
  </w:style>
  <w:style w:type="character" w:styleId="12">
    <w:name w:val="annotation reference"/>
    <w:autoRedefine/>
    <w:semiHidden/>
    <w:qFormat/>
    <w:uiPriority w:val="0"/>
    <w:rPr>
      <w:sz w:val="21"/>
      <w:szCs w:val="21"/>
    </w:rPr>
  </w:style>
  <w:style w:type="character" w:customStyle="1" w:styleId="13">
    <w:name w:val="页脚 Char"/>
    <w:link w:val="6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9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天津医科大学</Company>
  <Pages>8</Pages>
  <Words>411</Words>
  <Characters>2344</Characters>
  <Lines>19</Lines>
  <Paragraphs>5</Paragraphs>
  <TotalTime>4</TotalTime>
  <ScaleCrop>false</ScaleCrop>
  <LinksUpToDate>false</LinksUpToDate>
  <CharactersWithSpaces>2750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2019-05-05T02:31:00Z</dcterms:created>
  <dc:creator>王秋生</dc:creator>
  <cp:lastModifiedBy>栖园</cp:lastModifiedBy>
  <cp:lastPrinted>2013-10-08T03:34:00Z</cp:lastPrinted>
  <dcterms:modified xsi:type="dcterms:W3CDTF">2024-04-11T09:26:48Z</dcterms:modified>
  <dc:title>关于修订教学大纲、见、实习大纲文字格式要求</dc:title>
  <cp:revision>361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A9357665FA4E4056B2AF52CE91D34BFF</vt:lpwstr>
  </property>
</Properties>
</file>